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72" w:rsidRDefault="00610A72">
      <w:pPr>
        <w:jc w:val="center"/>
        <w:rPr>
          <w:rFonts w:cs="Arial"/>
        </w:rPr>
      </w:pPr>
      <w:bookmarkStart w:id="0" w:name="_GoBack"/>
      <w:bookmarkEnd w:id="0"/>
    </w:p>
    <w:p w:rsidR="00610A72" w:rsidRDefault="00EA530E">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92710</wp:posOffset>
                </wp:positionV>
                <wp:extent cx="18288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B31" w:rsidRDefault="00B27B31">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95pt;margin-top:7.3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yEgAIAAA8FAAAOAAAAZHJzL2Uyb0RvYy54bWysVO1umzAU/T9p72D5fwpEJAVUUq3tMk3q&#10;PqR2D+BgE6wZX892At20d9+1Sdp0H9I0jR9gc6/P/Tjn+uJy7BXZC+sk6JpmZyklQjfApd7W9NP9&#10;elZQ4jzTnCnQoqYPwtHL1csXF4OpxBw6UFxYgiDaVYOpaee9qZLENZ3omTsDIzQaW7A987i124Rb&#10;NiB6r5J5mi6TASw3FhrhHP69mYx0FfHbVjT+Q9s64YmqKebm49vG9ya8k9UFq7aWmU42hzTYP2TR&#10;M6kx6CPUDfOM7Kz8BaqXjQUHrT9roE+gbWUjYg1YTZb+VM1dx4yItWBznHlsk/t/sM37/UdLJK/p&#10;khLNeqToXoyeXMFIitCdwbgKne4MuvkRfyPLsVJnbqH57IiG647prXhlLQydYByzy8LJ5OTohOMC&#10;yGZ4BxzDsJ2HCDS2tg+tw2YQREeWHh6ZCak0IWQxL4oUTQ3a8sU5Uh9DsOp42ljn3wjoSVjU1CLz&#10;EZ3tb50P2bDq6BKCOVCSr6VScWO3m2tlyZ6hStbxOaA/c1M6OGsIxybE6Q8miTGCLaQbWf9WZvM8&#10;vZqXs/WyOJ/l63wxK8/TYpZm5VW5TPMyv1l/DwlmedVJzoW+lVocFZjlf8fwYRYm7UQNkqGm5WK+&#10;mCj6Y5FpfH5XZC89DqSSfU2x4fgEJ1YFYl9rHteeSTWtk+fpxy5jD47f2JUog8D8pAE/bkZECdrY&#10;AH9AQVhAvpBavEVw0YH9SsmAE1lT92XHrKBEvdUoqjLL8zDCcRM1QIk9tWxOLUw3CFVTT8m0vPbT&#10;2O+MldsOI00y1vAKhdjKqJGnrA7yxamLxRxuiDDWp/vo9XSPrX4AAAD//wMAUEsDBBQABgAIAAAA&#10;IQB3cr+C3gAAAAkBAAAPAAAAZHJzL2Rvd25yZXYueG1sTI9BTsMwEEX3SNzBGiQ2qHUapW4b4lSA&#10;BGLb0gNM4mkSEdtR7Dbp7RlWsBz9p//fFPvZ9uJKY+i807BaJiDI1d50rtFw+npfbEGEiM5g7x1p&#10;uFGAfXl/V2Bu/OQOdD3GRnCJCzlqaGMccilD3ZLFsPQDOc7OfrQY+RwbaUacuNz2Mk0SJS12jhda&#10;HOitpfr7eLEazp/T03o3VR/xtDlk6hW7TeVvWj8+zC/PICLN8Q+GX31Wh5KdKn9xJohewyJb7xjl&#10;IFMgGEizdAWi0rBVCmRZyP8flD8AAAD//wMAUEsBAi0AFAAGAAgAAAAhALaDOJL+AAAA4QEAABMA&#10;AAAAAAAAAAAAAAAAAAAAAFtDb250ZW50X1R5cGVzXS54bWxQSwECLQAUAAYACAAAACEAOP0h/9YA&#10;AACUAQAACwAAAAAAAAAAAAAAAAAvAQAAX3JlbHMvLnJlbHNQSwECLQAUAAYACAAAACEAne6chIAC&#10;AAAPBQAADgAAAAAAAAAAAAAAAAAuAgAAZHJzL2Uyb0RvYy54bWxQSwECLQAUAAYACAAAACEAd3K/&#10;gt4AAAAJAQAADwAAAAAAAAAAAAAAAADaBAAAZHJzL2Rvd25yZXYueG1sUEsFBgAAAAAEAAQA8wAA&#10;AOUFAAAAAA==&#10;" stroked="f">
                <v:textbox>
                  <w:txbxContent>
                    <w:p w:rsidR="00B27B31" w:rsidRDefault="00B27B31">
                      <w:r>
                        <w:rPr>
                          <w:rFonts w:cs="Arial"/>
                        </w:rPr>
                        <w:t>(National Agreement)</w:t>
                      </w:r>
                    </w:p>
                  </w:txbxContent>
                </v:textbox>
              </v:shape>
            </w:pict>
          </mc:Fallback>
        </mc:AlternateContent>
      </w:r>
    </w:p>
    <w:p w:rsidR="00610A72" w:rsidRDefault="00EA530E">
      <w:pPr>
        <w:jc w:val="center"/>
        <w:rPr>
          <w:rFonts w:cs="Arial"/>
        </w:rPr>
      </w:pPr>
      <w:r>
        <w:rPr>
          <w:rFonts w:cs="Arial"/>
          <w:noProof/>
          <w:lang w:eastAsia="en-GB"/>
        </w:rPr>
        <w:drawing>
          <wp:inline distT="0" distB="0" distL="0" distR="0">
            <wp:extent cx="1840865" cy="1460500"/>
            <wp:effectExtent l="0" t="0" r="6985" b="6350"/>
            <wp:docPr id="2" name="Picture 2" descr="SBC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 logo 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865" cy="1460500"/>
                    </a:xfrm>
                    <a:prstGeom prst="rect">
                      <a:avLst/>
                    </a:prstGeom>
                    <a:noFill/>
                    <a:ln>
                      <a:noFill/>
                    </a:ln>
                  </pic:spPr>
                </pic:pic>
              </a:graphicData>
            </a:graphic>
          </wp:inline>
        </w:drawing>
      </w:r>
    </w:p>
    <w:p w:rsidR="00610A72" w:rsidRDefault="00610A72">
      <w:pPr>
        <w:rPr>
          <w:rFonts w:cs="Arial"/>
        </w:rPr>
      </w:pPr>
    </w:p>
    <w:p w:rsidR="00610A72" w:rsidRDefault="00610A72">
      <w:pPr>
        <w:pStyle w:val="Heading1"/>
        <w:rPr>
          <w:rFonts w:ascii="Arial" w:hAnsi="Arial" w:cs="Arial"/>
          <w:sz w:val="24"/>
        </w:rPr>
      </w:pPr>
    </w:p>
    <w:p w:rsidR="00610A72" w:rsidRDefault="00610A72">
      <w:pPr>
        <w:pStyle w:val="Heading3"/>
        <w:rPr>
          <w:rFonts w:cs="Arial"/>
          <w:sz w:val="24"/>
        </w:rPr>
      </w:pPr>
      <w:r>
        <w:rPr>
          <w:rFonts w:cs="Arial"/>
          <w:sz w:val="24"/>
        </w:rPr>
        <w:t>JOB DESCRIPTION</w:t>
      </w:r>
    </w:p>
    <w:p w:rsidR="00610A72" w:rsidRDefault="00610A72">
      <w:pPr>
        <w:tabs>
          <w:tab w:val="left" w:pos="3024"/>
        </w:tabs>
        <w:suppressAutoHyphens/>
        <w:jc w:val="both"/>
        <w:rPr>
          <w:rFonts w:cs="Arial"/>
          <w:b/>
          <w:spacing w:val="-3"/>
        </w:rPr>
      </w:pPr>
      <w:r>
        <w:rPr>
          <w:rFonts w:cs="Arial"/>
          <w:b/>
          <w:spacing w:val="-3"/>
        </w:rPr>
        <w:t>___________________________________________________________________</w:t>
      </w:r>
    </w:p>
    <w:p w:rsidR="00610A72" w:rsidRDefault="00610A72">
      <w:pPr>
        <w:tabs>
          <w:tab w:val="left" w:pos="2520"/>
          <w:tab w:val="left" w:pos="3600"/>
          <w:tab w:val="left" w:pos="4320"/>
        </w:tabs>
        <w:rPr>
          <w:rFonts w:cs="Arial"/>
        </w:rPr>
      </w:pPr>
    </w:p>
    <w:p w:rsidR="003A73F7" w:rsidRDefault="003A73F7" w:rsidP="003A73F7">
      <w:pPr>
        <w:tabs>
          <w:tab w:val="left" w:pos="2520"/>
          <w:tab w:val="left" w:pos="3600"/>
          <w:tab w:val="left" w:pos="4320"/>
        </w:tabs>
      </w:pPr>
      <w:r>
        <w:rPr>
          <w:b/>
          <w:bCs/>
        </w:rPr>
        <w:t>Post Title</w:t>
      </w:r>
      <w:r>
        <w:t>:</w:t>
      </w:r>
      <w:r>
        <w:tab/>
      </w:r>
      <w:r w:rsidR="008A3D5B">
        <w:t>Design Advisor – Strategic Housing Delivery</w:t>
      </w:r>
      <w:r>
        <w:t xml:space="preserve"> </w:t>
      </w:r>
      <w:r w:rsidR="005F4558">
        <w:t>(Temporary)</w:t>
      </w:r>
    </w:p>
    <w:p w:rsidR="009B4439" w:rsidRDefault="009B4439" w:rsidP="003A73F7">
      <w:pPr>
        <w:tabs>
          <w:tab w:val="left" w:pos="2520"/>
          <w:tab w:val="left" w:pos="3600"/>
          <w:tab w:val="left" w:pos="4320"/>
        </w:tabs>
      </w:pPr>
    </w:p>
    <w:p w:rsidR="003A73F7" w:rsidRDefault="003A73F7" w:rsidP="003A73F7">
      <w:pPr>
        <w:tabs>
          <w:tab w:val="left" w:pos="2520"/>
          <w:tab w:val="left" w:pos="3600"/>
          <w:tab w:val="left" w:pos="4320"/>
        </w:tabs>
      </w:pPr>
      <w:r>
        <w:rPr>
          <w:b/>
          <w:bCs/>
        </w:rPr>
        <w:t>Scale</w:t>
      </w:r>
      <w:r>
        <w:t>:</w:t>
      </w:r>
      <w:r>
        <w:tab/>
      </w:r>
      <w:r w:rsidR="00812004">
        <w:t xml:space="preserve">Grade </w:t>
      </w:r>
      <w:r w:rsidR="000751AD">
        <w:t>I</w:t>
      </w:r>
    </w:p>
    <w:p w:rsidR="003A73F7" w:rsidRDefault="003A73F7" w:rsidP="003A73F7">
      <w:pPr>
        <w:tabs>
          <w:tab w:val="left" w:pos="2520"/>
          <w:tab w:val="left" w:pos="3600"/>
          <w:tab w:val="left" w:pos="4320"/>
        </w:tabs>
      </w:pPr>
    </w:p>
    <w:p w:rsidR="003A73F7" w:rsidRDefault="003A73F7" w:rsidP="003A73F7">
      <w:pPr>
        <w:tabs>
          <w:tab w:val="left" w:pos="2520"/>
          <w:tab w:val="left" w:pos="3600"/>
          <w:tab w:val="left" w:pos="4320"/>
        </w:tabs>
        <w:rPr>
          <w:spacing w:val="-2"/>
        </w:rPr>
      </w:pPr>
      <w:r>
        <w:rPr>
          <w:b/>
          <w:bCs/>
        </w:rPr>
        <w:t>Post No</w:t>
      </w:r>
      <w:r w:rsidR="00F6381B">
        <w:t>:</w:t>
      </w:r>
      <w:r w:rsidR="00F6381B">
        <w:tab/>
        <w:t>PEP</w:t>
      </w:r>
      <w:r w:rsidR="005F4558">
        <w:t>****</w:t>
      </w:r>
    </w:p>
    <w:p w:rsidR="003A73F7" w:rsidRDefault="003A73F7" w:rsidP="003A73F7">
      <w:pPr>
        <w:tabs>
          <w:tab w:val="left" w:pos="2520"/>
          <w:tab w:val="left" w:pos="3600"/>
          <w:tab w:val="left" w:pos="4320"/>
        </w:tabs>
      </w:pPr>
    </w:p>
    <w:p w:rsidR="003A73F7" w:rsidRDefault="003A73F7" w:rsidP="003A73F7">
      <w:pPr>
        <w:tabs>
          <w:tab w:val="left" w:pos="2520"/>
          <w:tab w:val="left" w:pos="3600"/>
          <w:tab w:val="left" w:pos="4320"/>
        </w:tabs>
        <w:rPr>
          <w:sz w:val="22"/>
        </w:rPr>
      </w:pPr>
      <w:r>
        <w:rPr>
          <w:b/>
          <w:bCs/>
        </w:rPr>
        <w:t>Service</w:t>
      </w:r>
      <w:r>
        <w:t>:</w:t>
      </w:r>
      <w:r>
        <w:tab/>
        <w:t>Planning and Regeneration – Forward Planning</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spacing w:val="-2"/>
        </w:rPr>
      </w:pPr>
      <w:r>
        <w:rPr>
          <w:rFonts w:cs="Arial"/>
          <w:spacing w:val="-2"/>
        </w:rPr>
        <w:t>____________________________________________________________________</w:t>
      </w:r>
    </w:p>
    <w:p w:rsidR="00610A72" w:rsidRDefault="00610A72">
      <w:pPr>
        <w:tabs>
          <w:tab w:val="left" w:pos="2520"/>
          <w:tab w:val="left" w:pos="3600"/>
          <w:tab w:val="left" w:pos="4320"/>
        </w:tabs>
        <w:rPr>
          <w:rFonts w:cs="Arial"/>
          <w:spacing w:val="-2"/>
        </w:rPr>
      </w:pPr>
    </w:p>
    <w:p w:rsidR="003A73F7" w:rsidRDefault="003A73F7" w:rsidP="003A73F7">
      <w:pPr>
        <w:tabs>
          <w:tab w:val="left" w:pos="2520"/>
          <w:tab w:val="left" w:pos="3600"/>
          <w:tab w:val="left" w:pos="4320"/>
        </w:tabs>
        <w:rPr>
          <w:bCs/>
          <w:spacing w:val="-2"/>
        </w:rPr>
      </w:pPr>
      <w:r>
        <w:rPr>
          <w:b/>
          <w:spacing w:val="-2"/>
        </w:rPr>
        <w:t>Responsible to</w:t>
      </w:r>
      <w:r>
        <w:rPr>
          <w:bCs/>
          <w:spacing w:val="-2"/>
        </w:rPr>
        <w:t>:</w:t>
      </w:r>
      <w:r>
        <w:rPr>
          <w:bCs/>
          <w:spacing w:val="-2"/>
        </w:rPr>
        <w:tab/>
        <w:t>Planning Policy Manager</w:t>
      </w:r>
    </w:p>
    <w:p w:rsidR="003A73F7" w:rsidRDefault="003A73F7" w:rsidP="003A73F7">
      <w:pPr>
        <w:tabs>
          <w:tab w:val="left" w:pos="2520"/>
          <w:tab w:val="left" w:pos="3600"/>
          <w:tab w:val="left" w:pos="4320"/>
        </w:tabs>
        <w:rPr>
          <w:bCs/>
          <w:spacing w:val="-2"/>
        </w:rPr>
      </w:pPr>
    </w:p>
    <w:p w:rsidR="003A73F7" w:rsidRDefault="003A73F7" w:rsidP="003A73F7">
      <w:pPr>
        <w:tabs>
          <w:tab w:val="left" w:pos="2520"/>
          <w:tab w:val="left" w:pos="3600"/>
          <w:tab w:val="left" w:pos="4320"/>
        </w:tabs>
        <w:rPr>
          <w:bCs/>
          <w:spacing w:val="-2"/>
        </w:rPr>
      </w:pPr>
    </w:p>
    <w:p w:rsidR="003A73F7" w:rsidRDefault="003A73F7" w:rsidP="003A73F7">
      <w:pPr>
        <w:tabs>
          <w:tab w:val="left" w:pos="2520"/>
          <w:tab w:val="left" w:pos="3600"/>
          <w:tab w:val="left" w:pos="4320"/>
        </w:tabs>
      </w:pPr>
      <w:r>
        <w:rPr>
          <w:b/>
          <w:spacing w:val="-2"/>
        </w:rPr>
        <w:t>Responsible for</w:t>
      </w:r>
      <w:r>
        <w:rPr>
          <w:bCs/>
          <w:spacing w:val="-2"/>
        </w:rPr>
        <w:t>:</w:t>
      </w:r>
      <w:r>
        <w:rPr>
          <w:bCs/>
          <w:spacing w:val="-2"/>
        </w:rPr>
        <w:tab/>
      </w:r>
      <w:r w:rsidR="00812004">
        <w:t>N/A</w:t>
      </w:r>
    </w:p>
    <w:p w:rsidR="003A73F7" w:rsidRDefault="003A73F7" w:rsidP="003A73F7">
      <w:pPr>
        <w:tabs>
          <w:tab w:val="left" w:pos="2520"/>
          <w:tab w:val="left" w:pos="3600"/>
          <w:tab w:val="left" w:pos="4320"/>
        </w:tabs>
      </w:pPr>
    </w:p>
    <w:p w:rsidR="003A73F7" w:rsidRDefault="003A73F7" w:rsidP="003A73F7">
      <w:pPr>
        <w:pStyle w:val="EndnoteText"/>
        <w:tabs>
          <w:tab w:val="left" w:pos="2520"/>
          <w:tab w:val="left" w:pos="3600"/>
          <w:tab w:val="left" w:pos="4320"/>
        </w:tabs>
        <w:rPr>
          <w:bCs/>
        </w:rPr>
      </w:pPr>
    </w:p>
    <w:p w:rsidR="003A73F7" w:rsidRDefault="003A73F7" w:rsidP="003A73F7">
      <w:pPr>
        <w:tabs>
          <w:tab w:val="left" w:pos="2520"/>
          <w:tab w:val="left" w:pos="3600"/>
          <w:tab w:val="left" w:pos="4320"/>
        </w:tabs>
        <w:ind w:left="2520" w:hanging="2520"/>
        <w:rPr>
          <w:bCs/>
          <w:spacing w:val="-2"/>
        </w:rPr>
      </w:pPr>
      <w:r>
        <w:rPr>
          <w:b/>
        </w:rPr>
        <w:t>Key Relationships</w:t>
      </w:r>
      <w:r>
        <w:rPr>
          <w:bCs/>
        </w:rPr>
        <w:t>:</w:t>
      </w:r>
      <w:r>
        <w:rPr>
          <w:bCs/>
        </w:rPr>
        <w:tab/>
      </w:r>
      <w:r>
        <w:t>Council Departments; Staffordshire County Council</w:t>
      </w:r>
      <w:r w:rsidR="0086186E">
        <w:t>;</w:t>
      </w:r>
      <w:r>
        <w:t xml:space="preserve"> Central Government – Department for Co</w:t>
      </w:r>
      <w:r w:rsidR="0086186E">
        <w:t xml:space="preserve">mmunities and Local Government; Statutory Agencies; Parish </w:t>
      </w:r>
      <w:r w:rsidR="0086186E" w:rsidRPr="00BD316B">
        <w:t>Councils, Ward Members</w:t>
      </w:r>
      <w:r w:rsidR="0086186E">
        <w:t>, stakeholders in the planning service</w:t>
      </w:r>
      <w:r w:rsidR="00F50F5D">
        <w:t>;</w:t>
      </w:r>
      <w:r w:rsidR="0086186E">
        <w:t xml:space="preserve"> Business and Voluntary sector agencies including developers, representative groups and the general public.</w:t>
      </w:r>
    </w:p>
    <w:p w:rsidR="00610A72" w:rsidRDefault="00610A72">
      <w:pPr>
        <w:tabs>
          <w:tab w:val="left" w:pos="2520"/>
          <w:tab w:val="left" w:pos="3600"/>
          <w:tab w:val="left" w:pos="4320"/>
        </w:tabs>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5"/>
      </w:tblGrid>
      <w:tr w:rsidR="00610A72">
        <w:tc>
          <w:tcPr>
            <w:tcW w:w="9245" w:type="dxa"/>
          </w:tcPr>
          <w:p w:rsidR="00610A72" w:rsidRDefault="00610A72">
            <w:pPr>
              <w:tabs>
                <w:tab w:val="left" w:pos="2520"/>
                <w:tab w:val="left" w:pos="3600"/>
                <w:tab w:val="left" w:pos="4320"/>
              </w:tabs>
              <w:rPr>
                <w:rFonts w:cs="Arial"/>
              </w:rPr>
            </w:pPr>
          </w:p>
          <w:p w:rsidR="00610A72" w:rsidRDefault="003A73F7" w:rsidP="00962936">
            <w:pPr>
              <w:rPr>
                <w:rFonts w:cs="Arial"/>
                <w:bCs/>
                <w:lang w:val="en-US"/>
              </w:rPr>
            </w:pPr>
            <w:r>
              <w:rPr>
                <w:b/>
                <w:bCs/>
              </w:rPr>
              <w:t>Job Purpose</w:t>
            </w:r>
            <w:r>
              <w:t>:</w:t>
            </w:r>
            <w:r>
              <w:tab/>
            </w:r>
            <w:r w:rsidR="00D54287">
              <w:t xml:space="preserve">To </w:t>
            </w:r>
            <w:r w:rsidR="00962936">
              <w:rPr>
                <w:rFonts w:cs="Arial"/>
                <w:bCs/>
                <w:lang w:val="en-US"/>
              </w:rPr>
              <w:t xml:space="preserve">provide specialist master planning / design advice </w:t>
            </w:r>
            <w:r w:rsidR="00962936">
              <w:rPr>
                <w:rFonts w:cs="Arial"/>
                <w:bCs/>
                <w:lang w:val="en-US"/>
              </w:rPr>
              <w:tab/>
            </w:r>
            <w:r w:rsidR="00962936">
              <w:rPr>
                <w:rFonts w:cs="Arial"/>
                <w:bCs/>
                <w:lang w:val="en-US"/>
              </w:rPr>
              <w:tab/>
            </w:r>
            <w:r w:rsidR="00962936">
              <w:rPr>
                <w:rFonts w:cs="Arial"/>
                <w:bCs/>
                <w:lang w:val="en-US"/>
              </w:rPr>
              <w:tab/>
            </w:r>
            <w:r w:rsidR="00962936">
              <w:rPr>
                <w:rFonts w:cs="Arial"/>
                <w:bCs/>
                <w:lang w:val="en-US"/>
              </w:rPr>
              <w:tab/>
            </w:r>
            <w:r w:rsidR="00962936">
              <w:rPr>
                <w:rFonts w:cs="Arial"/>
                <w:bCs/>
                <w:lang w:val="en-US"/>
              </w:rPr>
              <w:tab/>
              <w:t>on major planning applications</w:t>
            </w:r>
            <w:r w:rsidR="00F50F5D">
              <w:rPr>
                <w:rFonts w:cs="Arial"/>
                <w:bCs/>
                <w:lang w:val="en-US"/>
              </w:rPr>
              <w:t>,</w:t>
            </w:r>
            <w:r w:rsidR="00962936">
              <w:t xml:space="preserve"> </w:t>
            </w:r>
            <w:r w:rsidR="00D54287">
              <w:t xml:space="preserve">project manage and support the </w:t>
            </w:r>
            <w:r w:rsidR="00962936">
              <w:tab/>
            </w:r>
            <w:r w:rsidR="00962936">
              <w:tab/>
            </w:r>
            <w:r w:rsidR="00962936">
              <w:tab/>
            </w:r>
            <w:r w:rsidR="00D54287">
              <w:t xml:space="preserve">delivery of </w:t>
            </w:r>
            <w:r w:rsidR="00D54287">
              <w:rPr>
                <w:rFonts w:cs="Arial"/>
                <w:bCs/>
                <w:lang w:val="en-US"/>
              </w:rPr>
              <w:t>significant new</w:t>
            </w:r>
            <w:r w:rsidR="00962936">
              <w:rPr>
                <w:rFonts w:cs="Arial"/>
                <w:bCs/>
                <w:lang w:val="en-US"/>
              </w:rPr>
              <w:t xml:space="preserve"> </w:t>
            </w:r>
            <w:r w:rsidR="00D54287">
              <w:rPr>
                <w:rFonts w:cs="Arial"/>
                <w:bCs/>
                <w:lang w:val="en-US"/>
              </w:rPr>
              <w:t xml:space="preserve">development on the Strategic </w:t>
            </w:r>
            <w:r w:rsidR="00962936">
              <w:rPr>
                <w:rFonts w:cs="Arial"/>
                <w:bCs/>
                <w:lang w:val="en-US"/>
              </w:rPr>
              <w:tab/>
            </w:r>
            <w:r w:rsidR="00962936">
              <w:rPr>
                <w:rFonts w:cs="Arial"/>
                <w:bCs/>
                <w:lang w:val="en-US"/>
              </w:rPr>
              <w:tab/>
            </w:r>
            <w:r w:rsidR="00962936">
              <w:rPr>
                <w:rFonts w:cs="Arial"/>
                <w:bCs/>
                <w:lang w:val="en-US"/>
              </w:rPr>
              <w:tab/>
            </w:r>
            <w:r w:rsidR="00962936">
              <w:rPr>
                <w:rFonts w:cs="Arial"/>
                <w:bCs/>
                <w:lang w:val="en-US"/>
              </w:rPr>
              <w:tab/>
            </w:r>
            <w:r w:rsidR="00D54287">
              <w:rPr>
                <w:rFonts w:cs="Arial"/>
                <w:bCs/>
                <w:lang w:val="en-US"/>
              </w:rPr>
              <w:t xml:space="preserve">Development Locations at </w:t>
            </w:r>
            <w:r w:rsidR="00962936">
              <w:rPr>
                <w:rFonts w:cs="Arial"/>
                <w:bCs/>
                <w:lang w:val="en-US"/>
              </w:rPr>
              <w:t>Stafford</w:t>
            </w:r>
            <w:r w:rsidR="00D54287">
              <w:rPr>
                <w:rFonts w:cs="Arial"/>
                <w:bCs/>
                <w:lang w:val="en-US"/>
              </w:rPr>
              <w:t xml:space="preserve"> </w:t>
            </w:r>
          </w:p>
          <w:p w:rsidR="00962936" w:rsidRDefault="00962936" w:rsidP="00962936">
            <w:pPr>
              <w:rPr>
                <w:rFonts w:cs="Arial"/>
                <w:spacing w:val="-2"/>
              </w:rPr>
            </w:pPr>
          </w:p>
        </w:tc>
      </w:tr>
    </w:tbl>
    <w:p w:rsidR="00610A72" w:rsidRDefault="00610A72">
      <w:pPr>
        <w:tabs>
          <w:tab w:val="left" w:pos="2520"/>
          <w:tab w:val="left" w:pos="3600"/>
          <w:tab w:val="left" w:pos="4320"/>
        </w:tabs>
        <w:rPr>
          <w:rFonts w:cs="Arial"/>
          <w:spacing w:val="-2"/>
        </w:rPr>
      </w:pPr>
    </w:p>
    <w:p w:rsidR="00610A72" w:rsidRDefault="00610A72">
      <w:pPr>
        <w:tabs>
          <w:tab w:val="left" w:pos="2520"/>
          <w:tab w:val="left" w:pos="3600"/>
          <w:tab w:val="left" w:pos="4320"/>
        </w:tabs>
        <w:rPr>
          <w:rFonts w:cs="Arial"/>
        </w:rPr>
      </w:pPr>
      <w:r>
        <w:rPr>
          <w:rFonts w:cs="Arial"/>
          <w:b/>
          <w:bCs/>
        </w:rPr>
        <w:t>Main Duties and Responsibilities</w:t>
      </w:r>
      <w:r>
        <w:rPr>
          <w:rFonts w:cs="Arial"/>
        </w:rPr>
        <w:t>:</w:t>
      </w:r>
    </w:p>
    <w:p w:rsidR="00610A72" w:rsidRDefault="00610A72">
      <w:pPr>
        <w:tabs>
          <w:tab w:val="left" w:pos="2520"/>
          <w:tab w:val="left" w:pos="3600"/>
          <w:tab w:val="left" w:pos="4320"/>
        </w:tabs>
        <w:rPr>
          <w:rFonts w:cs="Arial"/>
        </w:rPr>
      </w:pPr>
    </w:p>
    <w:p w:rsidR="00514A3E" w:rsidRDefault="00693DDB" w:rsidP="00693DDB">
      <w:pPr>
        <w:pStyle w:val="number1"/>
        <w:numPr>
          <w:ilvl w:val="0"/>
          <w:numId w:val="6"/>
        </w:numPr>
      </w:pPr>
      <w:r>
        <w:t>To</w:t>
      </w:r>
      <w:r w:rsidR="00D54287">
        <w:t xml:space="preserve"> ensure the Strategic Development Locations at Stafford Town are developed in accordance with national policy, the new Development Plan and local government strategies</w:t>
      </w:r>
      <w:r w:rsidR="00514A3E">
        <w:t>;</w:t>
      </w:r>
    </w:p>
    <w:p w:rsidR="00D54287" w:rsidRDefault="00D54287" w:rsidP="00D54287">
      <w:pPr>
        <w:pStyle w:val="number1"/>
        <w:numPr>
          <w:ilvl w:val="0"/>
          <w:numId w:val="0"/>
        </w:numPr>
        <w:ind w:left="720"/>
      </w:pPr>
    </w:p>
    <w:p w:rsidR="00023C5F" w:rsidRDefault="00023C5F" w:rsidP="00693DDB">
      <w:pPr>
        <w:pStyle w:val="number1"/>
        <w:numPr>
          <w:ilvl w:val="0"/>
          <w:numId w:val="6"/>
        </w:numPr>
      </w:pPr>
      <w:r>
        <w:t xml:space="preserve">To </w:t>
      </w:r>
      <w:r w:rsidR="00962936">
        <w:t xml:space="preserve">actively engage with </w:t>
      </w:r>
      <w:r>
        <w:t>multi-disciplinary project teams to secure the delivery of the service within agreed timescales to ensure the Council’s corporate objectives for the Strategic Development Locations are achieved;</w:t>
      </w:r>
    </w:p>
    <w:p w:rsidR="00023C5F" w:rsidRDefault="00023C5F" w:rsidP="00023C5F">
      <w:pPr>
        <w:pStyle w:val="ListParagraph"/>
      </w:pPr>
    </w:p>
    <w:p w:rsidR="00D54287" w:rsidRDefault="00D54287" w:rsidP="00693DDB">
      <w:pPr>
        <w:pStyle w:val="number1"/>
        <w:numPr>
          <w:ilvl w:val="0"/>
          <w:numId w:val="6"/>
        </w:numPr>
      </w:pPr>
      <w:r>
        <w:t>To work in partnership</w:t>
      </w:r>
      <w:r w:rsidR="00FB6C96">
        <w:t>, and manage as required,</w:t>
      </w:r>
      <w:r>
        <w:t xml:space="preserve"> other agencies and developers to deliver quality sustainable communities for Stafford Town and other major growth sites</w:t>
      </w:r>
      <w:r w:rsidR="003B3018">
        <w:t>;</w:t>
      </w:r>
    </w:p>
    <w:p w:rsidR="00D54287" w:rsidRDefault="00D54287" w:rsidP="00D54287">
      <w:pPr>
        <w:pStyle w:val="ListParagraph"/>
      </w:pPr>
    </w:p>
    <w:p w:rsidR="00D54287" w:rsidRDefault="00F0389C" w:rsidP="00693DDB">
      <w:pPr>
        <w:pStyle w:val="number1"/>
        <w:numPr>
          <w:ilvl w:val="0"/>
          <w:numId w:val="6"/>
        </w:numPr>
      </w:pPr>
      <w:r>
        <w:t xml:space="preserve">To ensure that </w:t>
      </w:r>
      <w:r w:rsidR="003B3018">
        <w:t>growth areas are quality developments, reflecting the vision, purpose and objectives of the Development Plan, Master Plans, planning permissions and design guides</w:t>
      </w:r>
      <w:r w:rsidR="00FB6C96">
        <w:t xml:space="preserve"> through a collaborative approach to flexible working</w:t>
      </w:r>
      <w:r w:rsidR="003B3018">
        <w:t>;</w:t>
      </w:r>
    </w:p>
    <w:p w:rsidR="003B3018" w:rsidRDefault="003B3018" w:rsidP="003B3018">
      <w:pPr>
        <w:pStyle w:val="ListParagraph"/>
      </w:pPr>
    </w:p>
    <w:p w:rsidR="003B3018" w:rsidRDefault="003B3018" w:rsidP="00693DDB">
      <w:pPr>
        <w:pStyle w:val="number1"/>
        <w:numPr>
          <w:ilvl w:val="0"/>
          <w:numId w:val="6"/>
        </w:numPr>
      </w:pPr>
      <w:r>
        <w:t xml:space="preserve">To </w:t>
      </w:r>
      <w:r w:rsidR="00962936">
        <w:t xml:space="preserve">support Development Management officers by providing appropriately detailed design advice to </w:t>
      </w:r>
      <w:r w:rsidR="00FB6C96">
        <w:t>ensure that all development related activities</w:t>
      </w:r>
      <w:r w:rsidR="001D568E">
        <w:t>,</w:t>
      </w:r>
      <w:r w:rsidR="00FB6C96">
        <w:t xml:space="preserve"> including the provision of </w:t>
      </w:r>
      <w:r w:rsidR="00023C5F">
        <w:t xml:space="preserve">specialist design and </w:t>
      </w:r>
      <w:r>
        <w:t>general planning guidance to statutory, non-statutory, public bodies and the general public</w:t>
      </w:r>
      <w:r w:rsidR="001D568E">
        <w:t>,</w:t>
      </w:r>
      <w:r w:rsidR="00FB6C96">
        <w:t xml:space="preserve"> is handled in an effective and cost effective manner</w:t>
      </w:r>
      <w:r>
        <w:t>;</w:t>
      </w:r>
    </w:p>
    <w:p w:rsidR="003B3018" w:rsidRDefault="003B3018" w:rsidP="003B3018">
      <w:pPr>
        <w:pStyle w:val="ListParagraph"/>
      </w:pPr>
    </w:p>
    <w:p w:rsidR="003B3018" w:rsidRDefault="003B3018" w:rsidP="00693DDB">
      <w:pPr>
        <w:pStyle w:val="number1"/>
        <w:numPr>
          <w:ilvl w:val="0"/>
          <w:numId w:val="6"/>
        </w:numPr>
      </w:pPr>
      <w:r>
        <w:t>To assist and guide developers in the formulation of quality master plans, planning applications and design guides;</w:t>
      </w:r>
    </w:p>
    <w:p w:rsidR="00FB6C96" w:rsidRDefault="00FB6C96" w:rsidP="00FB6C96">
      <w:pPr>
        <w:pStyle w:val="ListParagraph"/>
      </w:pPr>
    </w:p>
    <w:p w:rsidR="00FB6C96" w:rsidRDefault="00FB6C96" w:rsidP="00693DDB">
      <w:pPr>
        <w:pStyle w:val="number1"/>
        <w:numPr>
          <w:ilvl w:val="0"/>
          <w:numId w:val="6"/>
        </w:numPr>
      </w:pPr>
      <w:r>
        <w:t>To ensure that statutory and public consultation is implemented in accordance with legislation and the Council’s adopted policy so that decisions and recommendations are made taking into account all relevant representations;</w:t>
      </w:r>
    </w:p>
    <w:p w:rsidR="003B3018" w:rsidRDefault="003B3018" w:rsidP="003B3018">
      <w:pPr>
        <w:pStyle w:val="ListParagraph"/>
      </w:pPr>
    </w:p>
    <w:p w:rsidR="00693DDB" w:rsidRDefault="00693DDB" w:rsidP="00693DDB">
      <w:pPr>
        <w:pStyle w:val="number1"/>
        <w:numPr>
          <w:ilvl w:val="0"/>
          <w:numId w:val="6"/>
        </w:numPr>
      </w:pPr>
      <w:r>
        <w:t xml:space="preserve">To </w:t>
      </w:r>
      <w:r w:rsidR="00FB6C96">
        <w:t xml:space="preserve">prepare appeal statements and represent the Council as an expert planning witness at any Planning Appeals / Informal Hearings or any such forum as may be required in association with major developments; </w:t>
      </w:r>
    </w:p>
    <w:p w:rsidR="00693DDB" w:rsidRDefault="00693DDB" w:rsidP="00693DDB">
      <w:pPr>
        <w:pStyle w:val="number1"/>
        <w:numPr>
          <w:ilvl w:val="0"/>
          <w:numId w:val="0"/>
        </w:numPr>
      </w:pPr>
    </w:p>
    <w:p w:rsidR="0086186E" w:rsidRDefault="00693DDB" w:rsidP="0086186E">
      <w:pPr>
        <w:pStyle w:val="number1"/>
        <w:numPr>
          <w:ilvl w:val="0"/>
          <w:numId w:val="6"/>
        </w:numPr>
      </w:pPr>
      <w:r w:rsidRPr="0086186E">
        <w:rPr>
          <w:rFonts w:cs="Arial"/>
        </w:rPr>
        <w:t xml:space="preserve">To prepare and present high quality, clear and concise reports and briefings in writing and graphically for senior management and appropriate Council Committees. This may include regular attendance at meetings outside normal working hours </w:t>
      </w:r>
      <w:r>
        <w:t>taking account of the needs of the audience and the image and reputation of the Council</w:t>
      </w:r>
      <w:r w:rsidR="0086186E">
        <w:t>;</w:t>
      </w:r>
    </w:p>
    <w:p w:rsidR="0086186E" w:rsidRDefault="0086186E" w:rsidP="0086186E">
      <w:pPr>
        <w:pStyle w:val="ListParagraph"/>
      </w:pPr>
    </w:p>
    <w:p w:rsidR="0086186E" w:rsidRPr="0086186E" w:rsidRDefault="0086186E" w:rsidP="0086186E">
      <w:pPr>
        <w:pStyle w:val="number1"/>
        <w:numPr>
          <w:ilvl w:val="0"/>
          <w:numId w:val="6"/>
        </w:numPr>
      </w:pPr>
      <w:r w:rsidRPr="00034147">
        <w:rPr>
          <w:rFonts w:cs="Arial"/>
        </w:rPr>
        <w:t xml:space="preserve">To carry out all functions as required by the Town and Country Planning Acts and associated legislation to provide </w:t>
      </w:r>
      <w:r>
        <w:rPr>
          <w:rFonts w:cs="Arial"/>
        </w:rPr>
        <w:t xml:space="preserve">Stafford Borough </w:t>
      </w:r>
      <w:r w:rsidRPr="00034147">
        <w:rPr>
          <w:rFonts w:cs="Arial"/>
        </w:rPr>
        <w:t>with a professional and efficient forward and strategic planning service</w:t>
      </w:r>
      <w:r>
        <w:rPr>
          <w:rFonts w:cs="Arial"/>
        </w:rPr>
        <w:t>;</w:t>
      </w:r>
    </w:p>
    <w:p w:rsidR="0086186E" w:rsidRDefault="0086186E" w:rsidP="0086186E">
      <w:pPr>
        <w:pStyle w:val="ListParagraph"/>
      </w:pPr>
    </w:p>
    <w:p w:rsidR="0086186E" w:rsidRPr="0086186E" w:rsidRDefault="0086186E" w:rsidP="0086186E">
      <w:pPr>
        <w:pStyle w:val="number1"/>
        <w:numPr>
          <w:ilvl w:val="0"/>
          <w:numId w:val="6"/>
        </w:numPr>
      </w:pPr>
      <w:r w:rsidRPr="00034147">
        <w:rPr>
          <w:rFonts w:cs="Arial"/>
        </w:rPr>
        <w:t xml:space="preserve">To complete all duties and tasks allocated to the post by the Planning Policy </w:t>
      </w:r>
      <w:r>
        <w:rPr>
          <w:rFonts w:cs="Arial"/>
        </w:rPr>
        <w:t>Manager</w:t>
      </w:r>
      <w:r w:rsidRPr="00034147">
        <w:rPr>
          <w:rFonts w:cs="Arial"/>
        </w:rPr>
        <w:t xml:space="preserve"> and to supervise, and delegate work to the assistants allocated to assist in this work</w:t>
      </w:r>
      <w:r w:rsidR="00FB6C96">
        <w:rPr>
          <w:rFonts w:cs="Arial"/>
        </w:rPr>
        <w:t xml:space="preserve"> by supporting a culture that promotes continuous improvement</w:t>
      </w:r>
      <w:r>
        <w:rPr>
          <w:rFonts w:cs="Arial"/>
        </w:rPr>
        <w:t>;</w:t>
      </w:r>
    </w:p>
    <w:p w:rsidR="0086186E" w:rsidRDefault="0086186E" w:rsidP="0086186E">
      <w:pPr>
        <w:pStyle w:val="ListParagraph"/>
      </w:pPr>
    </w:p>
    <w:p w:rsidR="0086186E" w:rsidRPr="0086186E" w:rsidRDefault="0086186E" w:rsidP="0086186E">
      <w:pPr>
        <w:pStyle w:val="number1"/>
        <w:numPr>
          <w:ilvl w:val="0"/>
          <w:numId w:val="6"/>
        </w:numPr>
      </w:pPr>
      <w:r w:rsidRPr="00693DDB">
        <w:rPr>
          <w:rFonts w:cs="Arial"/>
        </w:rPr>
        <w:t>To analyse, report on and respond to other organisations on planning matters such as Government consultation on planning policy and development plans of adjoining local authorities;</w:t>
      </w:r>
    </w:p>
    <w:p w:rsidR="0086186E" w:rsidRDefault="0086186E" w:rsidP="0086186E">
      <w:pPr>
        <w:pStyle w:val="ListParagraph"/>
      </w:pPr>
    </w:p>
    <w:p w:rsidR="0086186E" w:rsidRDefault="0086186E" w:rsidP="0086186E">
      <w:pPr>
        <w:pStyle w:val="number1"/>
        <w:numPr>
          <w:ilvl w:val="0"/>
          <w:numId w:val="6"/>
        </w:numPr>
      </w:pPr>
      <w:r>
        <w:t>Management of personal workload, with appropriate support and personal development, undertaking any training that is appropriate to the role and development of the service;</w:t>
      </w:r>
    </w:p>
    <w:p w:rsidR="00610A72" w:rsidRDefault="00610A72">
      <w:pPr>
        <w:pStyle w:val="EndnoteText"/>
        <w:rPr>
          <w:rFonts w:cs="Arial"/>
        </w:rPr>
      </w:pPr>
    </w:p>
    <w:p w:rsidR="00962936" w:rsidRDefault="00962936">
      <w:pPr>
        <w:pStyle w:val="EndnoteText"/>
        <w:rPr>
          <w:rFonts w:cs="Arial"/>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27"/>
      </w:tblGrid>
      <w:tr w:rsidR="00610A72">
        <w:tc>
          <w:tcPr>
            <w:tcW w:w="9227" w:type="dxa"/>
          </w:tcPr>
          <w:p w:rsidR="00610A72" w:rsidRDefault="00610A72">
            <w:pPr>
              <w:rPr>
                <w:rFonts w:cs="Arial"/>
              </w:rPr>
            </w:pPr>
          </w:p>
          <w:p w:rsidR="00610A72" w:rsidRDefault="00610A72">
            <w:pPr>
              <w:rPr>
                <w:rFonts w:cs="Arial"/>
              </w:rPr>
            </w:pPr>
            <w:r>
              <w:rPr>
                <w:rFonts w:cs="Arial"/>
              </w:rPr>
              <w:t>Any other duties commensurate with the grade of the post, subject to any reasonable adjustments under the Disability Discrimination Act 1996.</w:t>
            </w:r>
          </w:p>
          <w:p w:rsidR="00610A72" w:rsidRDefault="00610A72">
            <w:pPr>
              <w:rPr>
                <w:rFonts w:cs="Arial"/>
              </w:rPr>
            </w:pPr>
          </w:p>
        </w:tc>
      </w:tr>
      <w:tr w:rsidR="00610A72">
        <w:tc>
          <w:tcPr>
            <w:tcW w:w="9227" w:type="dxa"/>
            <w:tcBorders>
              <w:bottom w:val="single" w:sz="8" w:space="0" w:color="auto"/>
            </w:tcBorders>
          </w:tcPr>
          <w:p w:rsidR="00610A72" w:rsidRDefault="00610A72">
            <w:pPr>
              <w:rPr>
                <w:rFonts w:cs="Arial"/>
              </w:rPr>
            </w:pPr>
          </w:p>
          <w:p w:rsidR="00610A72" w:rsidRDefault="00610A72">
            <w:pPr>
              <w:rPr>
                <w:rFonts w:cs="Arial"/>
              </w:rPr>
            </w:pPr>
            <w:r>
              <w:rPr>
                <w:rFonts w:cs="Arial"/>
              </w:rPr>
              <w:t>Postholders must comply with the Council’s Equal Opportunities and Health and Safety Policies.</w:t>
            </w:r>
          </w:p>
          <w:p w:rsidR="001A427F" w:rsidRDefault="001A427F">
            <w:pPr>
              <w:rPr>
                <w:rFonts w:cs="Arial"/>
              </w:rPr>
            </w:pPr>
          </w:p>
        </w:tc>
      </w:tr>
      <w:tr w:rsidR="00610A72">
        <w:tc>
          <w:tcPr>
            <w:tcW w:w="9227" w:type="dxa"/>
            <w:tcBorders>
              <w:bottom w:val="single" w:sz="4" w:space="0" w:color="auto"/>
            </w:tcBorders>
          </w:tcPr>
          <w:p w:rsidR="00610A72" w:rsidRDefault="00610A72">
            <w:pPr>
              <w:rPr>
                <w:rFonts w:cs="Arial"/>
              </w:rPr>
            </w:pPr>
          </w:p>
          <w:p w:rsidR="00610A72" w:rsidRDefault="00610A72">
            <w:pPr>
              <w:rPr>
                <w:rFonts w:cs="Arial"/>
              </w:rPr>
            </w:pPr>
            <w:r>
              <w:rPr>
                <w:rFonts w:cs="Arial"/>
              </w:rPr>
              <w:t>For postholders at SO1 or above to develop, support and promote principles of sustainability both in service delivery and in the workplace.</w:t>
            </w:r>
          </w:p>
          <w:p w:rsidR="00610A72" w:rsidRDefault="00610A72">
            <w:pPr>
              <w:rPr>
                <w:rFonts w:cs="Arial"/>
              </w:rPr>
            </w:pPr>
          </w:p>
        </w:tc>
      </w:tr>
      <w:tr w:rsidR="00610A72">
        <w:tc>
          <w:tcPr>
            <w:tcW w:w="9227" w:type="dxa"/>
            <w:tcBorders>
              <w:top w:val="single" w:sz="4" w:space="0" w:color="auto"/>
              <w:bottom w:val="single" w:sz="4" w:space="0" w:color="auto"/>
            </w:tcBorders>
          </w:tcPr>
          <w:p w:rsidR="00610A72" w:rsidRDefault="00610A72">
            <w:pPr>
              <w:rPr>
                <w:rFonts w:cs="Arial"/>
              </w:rPr>
            </w:pPr>
          </w:p>
          <w:p w:rsidR="00610A72" w:rsidRDefault="00610A72">
            <w:pPr>
              <w:rPr>
                <w:rFonts w:cs="Arial"/>
              </w:rPr>
            </w:pPr>
            <w:r>
              <w:rPr>
                <w:rFonts w:cs="Arial"/>
              </w:rPr>
              <w:t>For postholders equivalent to SO1 or above to manage risks (strategic and/or operational) as identified in appropriate service plans and assigned within the PDR process.</w:t>
            </w:r>
          </w:p>
        </w:tc>
      </w:tr>
    </w:tbl>
    <w:p w:rsidR="00610A72" w:rsidRDefault="00610A72">
      <w:pPr>
        <w:rPr>
          <w:rFonts w:cs="Arial"/>
        </w:rPr>
      </w:pPr>
    </w:p>
    <w:p w:rsidR="00610A72" w:rsidRDefault="00610A72">
      <w:pPr>
        <w:pStyle w:val="Heading5"/>
        <w:rPr>
          <w:rFonts w:cs="Arial"/>
        </w:rPr>
      </w:pPr>
    </w:p>
    <w:p w:rsidR="00610A72" w:rsidRDefault="00610A72">
      <w:pPr>
        <w:pStyle w:val="Heading5"/>
        <w:rPr>
          <w:rFonts w:cs="Arial"/>
        </w:rPr>
      </w:pPr>
      <w:r>
        <w:rPr>
          <w:rFonts w:cs="Arial"/>
        </w:rPr>
        <w:t xml:space="preserve">Special Conditions </w:t>
      </w:r>
    </w:p>
    <w:p w:rsidR="00610A72" w:rsidRDefault="00610A72">
      <w:pPr>
        <w:tabs>
          <w:tab w:val="left" w:pos="2520"/>
          <w:tab w:val="left" w:pos="3600"/>
          <w:tab w:val="left" w:pos="4320"/>
        </w:tabs>
        <w:rPr>
          <w:rFonts w:cs="Arial"/>
          <w:spacing w:val="-2"/>
        </w:rPr>
      </w:pPr>
      <w:r>
        <w:rPr>
          <w:rFonts w:cs="Arial"/>
        </w:rPr>
        <w:t>(if applicable):</w:t>
      </w:r>
      <w:r>
        <w:rPr>
          <w:rFonts w:cs="Arial"/>
        </w:rPr>
        <w:tab/>
      </w:r>
      <w:r>
        <w:rPr>
          <w:rFonts w:cs="Arial"/>
        </w:rPr>
        <w:fldChar w:fldCharType="begin">
          <w:ffData>
            <w:name w:val="Text11"/>
            <w:enabled/>
            <w:calcOnExit w:val="0"/>
            <w:textInput/>
          </w:ffData>
        </w:fldChar>
      </w:r>
      <w:bookmarkStart w:id="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rsidR="00610A72" w:rsidRDefault="00610A72">
      <w:pPr>
        <w:rPr>
          <w:rFonts w:cs="Arial"/>
        </w:rPr>
      </w:pPr>
    </w:p>
    <w:p w:rsidR="00610A72" w:rsidRDefault="00610A72">
      <w:pPr>
        <w:rPr>
          <w:rFonts w:cs="Arial"/>
        </w:rPr>
      </w:pPr>
    </w:p>
    <w:p w:rsidR="00610A72" w:rsidRDefault="00610A72">
      <w:pPr>
        <w:pStyle w:val="Heading5"/>
        <w:rPr>
          <w:rFonts w:cs="Arial"/>
          <w:spacing w:val="-2"/>
        </w:rPr>
      </w:pPr>
      <w:r>
        <w:rPr>
          <w:rFonts w:cs="Arial"/>
        </w:rPr>
        <w:t>General</w:t>
      </w:r>
    </w:p>
    <w:p w:rsidR="00610A72" w:rsidRDefault="00610A72">
      <w:pPr>
        <w:rPr>
          <w:rFonts w:cs="Arial"/>
        </w:rPr>
      </w:pPr>
    </w:p>
    <w:p w:rsidR="00610A72" w:rsidRDefault="00610A72">
      <w:pPr>
        <w:tabs>
          <w:tab w:val="left" w:pos="720"/>
        </w:tabs>
        <w:ind w:left="720" w:hanging="720"/>
        <w:rPr>
          <w:rFonts w:cs="Arial"/>
        </w:rPr>
      </w:pPr>
      <w:r>
        <w:rPr>
          <w:rFonts w:cs="Arial"/>
        </w:rPr>
        <w:t>1</w:t>
      </w:r>
      <w:r>
        <w:rPr>
          <w:rFonts w:cs="Arial"/>
        </w:rPr>
        <w:tab/>
        <w:t>The above duties do not include or define all tasks which the postholder may be required to carry out.</w:t>
      </w:r>
    </w:p>
    <w:p w:rsidR="00610A72" w:rsidRDefault="00610A72" w:rsidP="00812004">
      <w:pPr>
        <w:tabs>
          <w:tab w:val="left" w:pos="720"/>
        </w:tabs>
        <w:rPr>
          <w:rFonts w:cs="Arial"/>
        </w:rPr>
      </w:pPr>
    </w:p>
    <w:p w:rsidR="00610A72" w:rsidRDefault="00812004">
      <w:pPr>
        <w:tabs>
          <w:tab w:val="left" w:pos="720"/>
        </w:tabs>
        <w:ind w:left="720" w:hanging="720"/>
        <w:rPr>
          <w:rFonts w:cs="Arial"/>
        </w:rPr>
      </w:pPr>
      <w:r>
        <w:rPr>
          <w:rFonts w:cs="Arial"/>
        </w:rPr>
        <w:t>2</w:t>
      </w:r>
      <w:r w:rsidR="00610A72">
        <w:rPr>
          <w:rFonts w:cs="Arial"/>
        </w:rPr>
        <w:tab/>
        <w:t>To be responsible for the health, safety and welfare of yourself and employees you are working with.</w:t>
      </w:r>
    </w:p>
    <w:p w:rsidR="00610A72" w:rsidRDefault="00610A72">
      <w:pPr>
        <w:tabs>
          <w:tab w:val="left" w:pos="720"/>
        </w:tabs>
        <w:ind w:left="720" w:hanging="720"/>
        <w:rPr>
          <w:rFonts w:cs="Arial"/>
        </w:rPr>
      </w:pPr>
    </w:p>
    <w:p w:rsidR="00610A72" w:rsidRDefault="00812004">
      <w:pPr>
        <w:tabs>
          <w:tab w:val="left" w:pos="720"/>
        </w:tabs>
        <w:ind w:left="720" w:hanging="720"/>
        <w:rPr>
          <w:rFonts w:cs="Arial"/>
        </w:rPr>
      </w:pPr>
      <w:r>
        <w:rPr>
          <w:rFonts w:cs="Arial"/>
        </w:rPr>
        <w:t>3</w:t>
      </w:r>
      <w:r w:rsidR="00610A72">
        <w:rPr>
          <w:rFonts w:cs="Arial"/>
        </w:rPr>
        <w:tab/>
        <w:t>To serve at any of the Council's places of employment in any post of a similar nature and responsibility, if required.</w:t>
      </w:r>
    </w:p>
    <w:p w:rsidR="00610A72" w:rsidRDefault="00610A72">
      <w:pPr>
        <w:tabs>
          <w:tab w:val="left" w:pos="720"/>
        </w:tabs>
        <w:ind w:left="720" w:hanging="720"/>
        <w:rPr>
          <w:rFonts w:cs="Arial"/>
        </w:rPr>
      </w:pPr>
    </w:p>
    <w:p w:rsidR="00610A72" w:rsidRDefault="00812004">
      <w:pPr>
        <w:tabs>
          <w:tab w:val="left" w:pos="720"/>
        </w:tabs>
        <w:ind w:left="720" w:hanging="720"/>
        <w:rPr>
          <w:rFonts w:cs="Arial"/>
        </w:rPr>
      </w:pPr>
      <w:r>
        <w:rPr>
          <w:rFonts w:cs="Arial"/>
        </w:rPr>
        <w:t>4</w:t>
      </w:r>
      <w:r w:rsidR="00610A72">
        <w:rPr>
          <w:rFonts w:cs="Arial"/>
        </w:rPr>
        <w:tab/>
        <w:t>The above duties may involve having access to information of a confidential nature which may be covered by the Data Protection Act, be commercially sensitive or relate to client information. In such circumstances confidentiality must be maintained at all times.</w:t>
      </w:r>
    </w:p>
    <w:p w:rsidR="00610A72" w:rsidRDefault="00610A72">
      <w:pPr>
        <w:tabs>
          <w:tab w:val="left" w:pos="720"/>
        </w:tabs>
        <w:ind w:left="720" w:hanging="720"/>
        <w:rPr>
          <w:rFonts w:cs="Arial"/>
        </w:rPr>
      </w:pPr>
    </w:p>
    <w:p w:rsidR="00610A72" w:rsidRDefault="00610A72">
      <w:pPr>
        <w:rPr>
          <w:rFonts w:cs="Arial"/>
        </w:rPr>
      </w:pPr>
    </w:p>
    <w:p w:rsidR="00610A72" w:rsidRDefault="00610A72">
      <w:pPr>
        <w:rPr>
          <w:rFonts w:cs="Arial"/>
        </w:rPr>
      </w:pPr>
      <w:r>
        <w:rPr>
          <w:rFonts w:cs="Arial"/>
        </w:rPr>
        <w:t xml:space="preserve">The Council reserves the right to vary the duties and responsibilities of staff under conditions prescribed in national agreements.  Thus, it must be appreciated that the above duties may be altered as the future changing needs of the service may require.  </w:t>
      </w:r>
    </w:p>
    <w:p w:rsidR="001D5559" w:rsidRDefault="001D5559">
      <w:pPr>
        <w:tabs>
          <w:tab w:val="left" w:pos="4140"/>
          <w:tab w:val="left" w:pos="5310"/>
          <w:tab w:val="right" w:leader="underscore" w:pos="8910"/>
        </w:tabs>
        <w:rPr>
          <w:rFonts w:cs="Arial"/>
          <w:b/>
        </w:rPr>
      </w:pPr>
    </w:p>
    <w:p w:rsidR="001D5559" w:rsidRDefault="001D5559">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AGREED BY</w:t>
      </w:r>
    </w:p>
    <w:p w:rsidR="00610A72" w:rsidRPr="00036509" w:rsidRDefault="00610A72">
      <w:pPr>
        <w:pStyle w:val="EndnoteText"/>
        <w:tabs>
          <w:tab w:val="left" w:pos="4140"/>
          <w:tab w:val="left" w:pos="5310"/>
          <w:tab w:val="right" w:leader="underscore" w:pos="8910"/>
        </w:tabs>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rsidR="00610A72" w:rsidRDefault="00610A72">
      <w:pPr>
        <w:tabs>
          <w:tab w:val="left" w:pos="4140"/>
          <w:tab w:val="left" w:pos="5310"/>
          <w:tab w:val="right" w:leader="underscore" w:pos="8910"/>
        </w:tabs>
        <w:rPr>
          <w:rFonts w:cs="Arial"/>
          <w:b/>
        </w:rPr>
      </w:pPr>
    </w:p>
    <w:p w:rsidR="001D5559" w:rsidRPr="00036509" w:rsidRDefault="001D5559">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AGREED BY</w:t>
      </w:r>
    </w:p>
    <w:p w:rsidR="00610A72" w:rsidRPr="00036509" w:rsidRDefault="00610A72">
      <w:pPr>
        <w:tabs>
          <w:tab w:val="left" w:pos="4140"/>
          <w:tab w:val="left" w:pos="5310"/>
          <w:tab w:val="right" w:leader="underscore" w:pos="8910"/>
        </w:tabs>
        <w:rPr>
          <w:rFonts w:cs="Arial"/>
          <w:b/>
        </w:rPr>
      </w:pPr>
      <w:r w:rsidRPr="00036509">
        <w:rPr>
          <w:rFonts w:cs="Arial"/>
          <w:b/>
        </w:rPr>
        <w:t>LINE MANAGER:</w:t>
      </w:r>
      <w:r w:rsidRPr="00036509">
        <w:rPr>
          <w:rFonts w:cs="Arial"/>
          <w:b/>
        </w:rPr>
        <w:tab/>
        <w:t>Signed</w:t>
      </w:r>
      <w:r w:rsidRPr="00036509">
        <w:rPr>
          <w:rFonts w:cs="Arial"/>
          <w:b/>
        </w:rPr>
        <w:tab/>
      </w:r>
      <w:r w:rsidRPr="00036509">
        <w:rPr>
          <w:rFonts w:cs="Arial"/>
          <w:b/>
        </w:rPr>
        <w:tab/>
      </w:r>
    </w:p>
    <w:p w:rsidR="00610A72" w:rsidRDefault="00610A72">
      <w:pPr>
        <w:tabs>
          <w:tab w:val="left" w:pos="4140"/>
          <w:tab w:val="left" w:pos="5310"/>
          <w:tab w:val="right" w:leader="underscore" w:pos="8910"/>
        </w:tabs>
        <w:rPr>
          <w:rFonts w:cs="Arial"/>
          <w:b/>
        </w:rPr>
      </w:pPr>
    </w:p>
    <w:p w:rsidR="001D5559" w:rsidRPr="00036509" w:rsidRDefault="001D5559">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rsidR="00610A72" w:rsidRDefault="00610A72">
      <w:pPr>
        <w:tabs>
          <w:tab w:val="left" w:pos="4140"/>
          <w:tab w:val="left" w:pos="5310"/>
          <w:tab w:val="right" w:leader="underscore" w:pos="8910"/>
        </w:tabs>
        <w:rPr>
          <w:rFonts w:cs="Arial"/>
          <w:b/>
        </w:rPr>
      </w:pPr>
    </w:p>
    <w:p w:rsidR="001D5559" w:rsidRPr="00036509" w:rsidRDefault="001D5559">
      <w:pPr>
        <w:tabs>
          <w:tab w:val="left" w:pos="4140"/>
          <w:tab w:val="left" w:pos="5310"/>
          <w:tab w:val="right" w:leader="underscore" w:pos="8910"/>
        </w:tabs>
        <w:rPr>
          <w:rFonts w:cs="Arial"/>
          <w:b/>
        </w:rPr>
      </w:pPr>
    </w:p>
    <w:p w:rsidR="00012D70" w:rsidRDefault="00610A72" w:rsidP="003343FA">
      <w:pPr>
        <w:tabs>
          <w:tab w:val="left" w:pos="4140"/>
          <w:tab w:val="left" w:pos="5310"/>
          <w:tab w:val="right" w:leader="underscore" w:pos="8910"/>
        </w:tabs>
        <w:rPr>
          <w:rFonts w:cs="Arial"/>
          <w:b/>
        </w:rPr>
      </w:pPr>
      <w:r w:rsidRPr="00036509">
        <w:rPr>
          <w:rFonts w:cs="Arial"/>
          <w:b/>
        </w:rPr>
        <w:tab/>
        <w:t>Dated</w:t>
      </w:r>
      <w:r w:rsidRPr="00036509">
        <w:rPr>
          <w:rFonts w:cs="Arial"/>
          <w:b/>
        </w:rPr>
        <w:tab/>
      </w:r>
      <w:r w:rsidRPr="00036509">
        <w:rPr>
          <w:rFonts w:cs="Arial"/>
          <w:b/>
        </w:rPr>
        <w:tab/>
      </w:r>
    </w:p>
    <w:p w:rsidR="00012D70" w:rsidRDefault="00012D70" w:rsidP="003343FA">
      <w:pPr>
        <w:tabs>
          <w:tab w:val="left" w:pos="4140"/>
          <w:tab w:val="left" w:pos="5310"/>
          <w:tab w:val="right" w:leader="underscore" w:pos="8910"/>
        </w:tabs>
        <w:rPr>
          <w:rFonts w:cs="Arial"/>
          <w:b/>
        </w:rPr>
      </w:pPr>
    </w:p>
    <w:sectPr w:rsidR="00012D70" w:rsidSect="00012D7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31" w:rsidRDefault="00B27B31">
      <w:pPr>
        <w:spacing w:line="20" w:lineRule="exact"/>
      </w:pPr>
    </w:p>
  </w:endnote>
  <w:endnote w:type="continuationSeparator" w:id="0">
    <w:p w:rsidR="00B27B31" w:rsidRDefault="00B27B31">
      <w:r>
        <w:t xml:space="preserve"> </w:t>
      </w:r>
    </w:p>
  </w:endnote>
  <w:endnote w:type="continuationNotice" w:id="1">
    <w:p w:rsidR="00B27B31" w:rsidRDefault="00B27B3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31" w:rsidRDefault="00B27B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31" w:rsidRDefault="00B27B31">
    <w:pPr>
      <w:pStyle w:val="Footer"/>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31" w:rsidRDefault="00B27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31" w:rsidRDefault="00B27B31">
      <w:r>
        <w:separator/>
      </w:r>
    </w:p>
  </w:footnote>
  <w:footnote w:type="continuationSeparator" w:id="0">
    <w:p w:rsidR="00B27B31" w:rsidRDefault="00B27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31" w:rsidRDefault="00B27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31" w:rsidRDefault="00B27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31" w:rsidRDefault="00B27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021F11"/>
    <w:multiLevelType w:val="hybridMultilevel"/>
    <w:tmpl w:val="2424FE72"/>
    <w:lvl w:ilvl="0" w:tplc="C06CA4B2">
      <w:start w:val="1"/>
      <w:numFmt w:val="decimal"/>
      <w:pStyle w:val="number1"/>
      <w:lvlText w:val="%1."/>
      <w:lvlJc w:val="left"/>
      <w:pPr>
        <w:tabs>
          <w:tab w:val="num" w:pos="720"/>
        </w:tabs>
        <w:ind w:left="720" w:hanging="720"/>
      </w:pPr>
      <w:rPr>
        <w:rFonts w:ascii="Arial" w:hAnsi="Arial"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4C08F6"/>
    <w:multiLevelType w:val="hybridMultilevel"/>
    <w:tmpl w:val="1BE0DB78"/>
    <w:lvl w:ilvl="0" w:tplc="A98E51F2">
      <w:start w:val="1"/>
      <w:numFmt w:val="decimal"/>
      <w:lvlText w:val="%1"/>
      <w:lvlJc w:val="left"/>
      <w:pPr>
        <w:tabs>
          <w:tab w:val="num" w:pos="1440"/>
        </w:tabs>
        <w:ind w:left="1440" w:hanging="72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1"/>
  </w:num>
  <w:num w:numId="7">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12D70"/>
    <w:rsid w:val="00023C5F"/>
    <w:rsid w:val="00036509"/>
    <w:rsid w:val="000751AD"/>
    <w:rsid w:val="00113375"/>
    <w:rsid w:val="001A427F"/>
    <w:rsid w:val="001B0ED4"/>
    <w:rsid w:val="001D5559"/>
    <w:rsid w:val="001D568E"/>
    <w:rsid w:val="001F6041"/>
    <w:rsid w:val="00205F56"/>
    <w:rsid w:val="00231D0C"/>
    <w:rsid w:val="00291735"/>
    <w:rsid w:val="002A07E6"/>
    <w:rsid w:val="002D6FF0"/>
    <w:rsid w:val="003343FA"/>
    <w:rsid w:val="00397722"/>
    <w:rsid w:val="003A73F7"/>
    <w:rsid w:val="003B3018"/>
    <w:rsid w:val="004B2373"/>
    <w:rsid w:val="0051397C"/>
    <w:rsid w:val="00514A3E"/>
    <w:rsid w:val="0053373F"/>
    <w:rsid w:val="005D7FB3"/>
    <w:rsid w:val="005F4558"/>
    <w:rsid w:val="00610A72"/>
    <w:rsid w:val="00693DDB"/>
    <w:rsid w:val="006C41C1"/>
    <w:rsid w:val="00701B15"/>
    <w:rsid w:val="00771B10"/>
    <w:rsid w:val="00812004"/>
    <w:rsid w:val="0086186E"/>
    <w:rsid w:val="008A3D5B"/>
    <w:rsid w:val="008B76D2"/>
    <w:rsid w:val="0092330F"/>
    <w:rsid w:val="0093237E"/>
    <w:rsid w:val="00962936"/>
    <w:rsid w:val="009B4439"/>
    <w:rsid w:val="00A30063"/>
    <w:rsid w:val="00A826C0"/>
    <w:rsid w:val="00AD5ACA"/>
    <w:rsid w:val="00B27B31"/>
    <w:rsid w:val="00B438A7"/>
    <w:rsid w:val="00B55DB5"/>
    <w:rsid w:val="00B90462"/>
    <w:rsid w:val="00CD3742"/>
    <w:rsid w:val="00CD7AAC"/>
    <w:rsid w:val="00D54287"/>
    <w:rsid w:val="00DC6464"/>
    <w:rsid w:val="00E13D8E"/>
    <w:rsid w:val="00EA530E"/>
    <w:rsid w:val="00EB12AB"/>
    <w:rsid w:val="00F0389C"/>
    <w:rsid w:val="00F50F5D"/>
    <w:rsid w:val="00F6381B"/>
    <w:rsid w:val="00F6618A"/>
    <w:rsid w:val="00FB6C96"/>
    <w:rsid w:val="00FE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qFormat/>
    <w:rsid w:val="003A73F7"/>
    <w:pPr>
      <w:ind w:left="720"/>
    </w:pPr>
  </w:style>
  <w:style w:type="paragraph" w:styleId="BodyText3">
    <w:name w:val="Body Text 3"/>
    <w:basedOn w:val="Normal"/>
    <w:link w:val="BodyText3Char"/>
    <w:uiPriority w:val="99"/>
    <w:semiHidden/>
    <w:unhideWhenUsed/>
    <w:rsid w:val="0053373F"/>
    <w:pPr>
      <w:spacing w:after="120"/>
    </w:pPr>
    <w:rPr>
      <w:sz w:val="16"/>
      <w:szCs w:val="16"/>
    </w:rPr>
  </w:style>
  <w:style w:type="character" w:customStyle="1" w:styleId="BodyText3Char">
    <w:name w:val="Body Text 3 Char"/>
    <w:basedOn w:val="DefaultParagraphFont"/>
    <w:link w:val="BodyText3"/>
    <w:uiPriority w:val="99"/>
    <w:semiHidden/>
    <w:rsid w:val="0053373F"/>
    <w:rPr>
      <w:rFonts w:ascii="Arial" w:hAnsi="Arial"/>
      <w:sz w:val="16"/>
      <w:szCs w:val="16"/>
      <w:lang w:eastAsia="en-US"/>
    </w:rPr>
  </w:style>
  <w:style w:type="paragraph" w:customStyle="1" w:styleId="number1">
    <w:name w:val="number1"/>
    <w:basedOn w:val="Normal"/>
    <w:rsid w:val="00693DDB"/>
    <w:pPr>
      <w:widowControl/>
      <w:numPr>
        <w:numId w:val="5"/>
      </w:numPr>
      <w:tabs>
        <w:tab w:val="right" w:pos="9000"/>
      </w:tabs>
      <w:overflowPunct/>
      <w:autoSpaceDE/>
      <w:autoSpaceDN/>
      <w:adjustRightInd/>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qFormat/>
    <w:rsid w:val="003A73F7"/>
    <w:pPr>
      <w:ind w:left="720"/>
    </w:pPr>
  </w:style>
  <w:style w:type="paragraph" w:styleId="BodyText3">
    <w:name w:val="Body Text 3"/>
    <w:basedOn w:val="Normal"/>
    <w:link w:val="BodyText3Char"/>
    <w:uiPriority w:val="99"/>
    <w:semiHidden/>
    <w:unhideWhenUsed/>
    <w:rsid w:val="0053373F"/>
    <w:pPr>
      <w:spacing w:after="120"/>
    </w:pPr>
    <w:rPr>
      <w:sz w:val="16"/>
      <w:szCs w:val="16"/>
    </w:rPr>
  </w:style>
  <w:style w:type="character" w:customStyle="1" w:styleId="BodyText3Char">
    <w:name w:val="Body Text 3 Char"/>
    <w:basedOn w:val="DefaultParagraphFont"/>
    <w:link w:val="BodyText3"/>
    <w:uiPriority w:val="99"/>
    <w:semiHidden/>
    <w:rsid w:val="0053373F"/>
    <w:rPr>
      <w:rFonts w:ascii="Arial" w:hAnsi="Arial"/>
      <w:sz w:val="16"/>
      <w:szCs w:val="16"/>
      <w:lang w:eastAsia="en-US"/>
    </w:rPr>
  </w:style>
  <w:style w:type="paragraph" w:customStyle="1" w:styleId="number1">
    <w:name w:val="number1"/>
    <w:basedOn w:val="Normal"/>
    <w:rsid w:val="00693DDB"/>
    <w:pPr>
      <w:widowControl/>
      <w:numPr>
        <w:numId w:val="5"/>
      </w:numPr>
      <w:tabs>
        <w:tab w:val="right" w:pos="9000"/>
      </w:tabs>
      <w:overflowPunct/>
      <w:autoSpaceDE/>
      <w:autoSpaceDN/>
      <w:adjustRightInd/>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5427</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Todd Lockley</cp:lastModifiedBy>
  <cp:revision>2</cp:revision>
  <cp:lastPrinted>2015-01-12T15:46:00Z</cp:lastPrinted>
  <dcterms:created xsi:type="dcterms:W3CDTF">2015-01-26T10:49:00Z</dcterms:created>
  <dcterms:modified xsi:type="dcterms:W3CDTF">2015-01-26T10:49:00Z</dcterms:modified>
</cp:coreProperties>
</file>